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05" w:rsidRDefault="00AF1DB1" w:rsidP="00AF1DB1">
      <w:pPr>
        <w:jc w:val="center"/>
        <w:rPr>
          <w:rFonts w:ascii="Times New Roman" w:hAnsi="Times New Roman" w:cs="Times New Roman"/>
          <w:sz w:val="28"/>
          <w:szCs w:val="28"/>
        </w:rPr>
      </w:pPr>
      <w:r>
        <w:rPr>
          <w:rFonts w:ascii="Times New Roman" w:hAnsi="Times New Roman" w:cs="Times New Roman"/>
          <w:sz w:val="28"/>
          <w:szCs w:val="28"/>
        </w:rPr>
        <w:t xml:space="preserve">Уважаемые жители </w:t>
      </w:r>
      <w:proofErr w:type="spellStart"/>
      <w:r>
        <w:rPr>
          <w:rFonts w:ascii="Times New Roman" w:hAnsi="Times New Roman" w:cs="Times New Roman"/>
          <w:sz w:val="28"/>
          <w:szCs w:val="28"/>
        </w:rPr>
        <w:t>Урупского</w:t>
      </w:r>
      <w:proofErr w:type="spellEnd"/>
      <w:r>
        <w:rPr>
          <w:rFonts w:ascii="Times New Roman" w:hAnsi="Times New Roman" w:cs="Times New Roman"/>
          <w:sz w:val="28"/>
          <w:szCs w:val="28"/>
        </w:rPr>
        <w:t xml:space="preserve"> муниципального района!</w:t>
      </w:r>
    </w:p>
    <w:p w:rsidR="00AF1DB1" w:rsidRDefault="00AF1DB1" w:rsidP="00AF1DB1">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Pr>
          <w:rFonts w:ascii="Times New Roman" w:hAnsi="Times New Roman"/>
          <w:sz w:val="24"/>
          <w:szCs w:val="24"/>
        </w:rPr>
        <w:t xml:space="preserve"> </w:t>
      </w:r>
      <w:r w:rsidRPr="00AF1DB1">
        <w:rPr>
          <w:rFonts w:ascii="Times New Roman" w:hAnsi="Times New Roman"/>
          <w:sz w:val="28"/>
          <w:szCs w:val="28"/>
        </w:rPr>
        <w:t xml:space="preserve">со </w:t>
      </w:r>
      <w:hyperlink r:id="rId6" w:history="1">
        <w:r w:rsidRPr="00AF1DB1">
          <w:rPr>
            <w:rFonts w:ascii="Times New Roman" w:hAnsi="Times New Roman"/>
            <w:sz w:val="28"/>
            <w:szCs w:val="28"/>
            <w:u w:val="single"/>
          </w:rPr>
          <w:t>статьей 16</w:t>
        </w:r>
      </w:hyperlink>
      <w:r>
        <w:rPr>
          <w:rFonts w:ascii="Times New Roman" w:hAnsi="Times New Roman"/>
          <w:sz w:val="24"/>
          <w:szCs w:val="24"/>
        </w:rPr>
        <w:t xml:space="preserve"> </w:t>
      </w:r>
      <w:r w:rsidRPr="00AF1DB1">
        <w:rPr>
          <w:rFonts w:ascii="Times New Roman" w:hAnsi="Times New Roman"/>
          <w:sz w:val="28"/>
          <w:szCs w:val="28"/>
        </w:rPr>
        <w:t>Федерального закона "О пожарной безопасности"</w:t>
      </w:r>
      <w:r>
        <w:rPr>
          <w:rFonts w:ascii="Times New Roman" w:hAnsi="Times New Roman"/>
          <w:sz w:val="24"/>
          <w:szCs w:val="24"/>
        </w:rPr>
        <w:t xml:space="preserve"> </w:t>
      </w:r>
      <w:r>
        <w:rPr>
          <w:rFonts w:ascii="Times New Roman" w:hAnsi="Times New Roman" w:cs="Times New Roman"/>
          <w:sz w:val="28"/>
          <w:szCs w:val="28"/>
        </w:rPr>
        <w:t>Постановлением Правительства Российской Федерации от 16 сентября 2020 года № 1479 утверждены Правил</w:t>
      </w:r>
      <w:r w:rsidR="00B26B68">
        <w:rPr>
          <w:rFonts w:ascii="Times New Roman" w:hAnsi="Times New Roman" w:cs="Times New Roman"/>
          <w:sz w:val="28"/>
          <w:szCs w:val="28"/>
        </w:rPr>
        <w:t>а</w:t>
      </w:r>
      <w:r>
        <w:rPr>
          <w:rFonts w:ascii="Times New Roman" w:hAnsi="Times New Roman" w:cs="Times New Roman"/>
          <w:sz w:val="28"/>
          <w:szCs w:val="28"/>
        </w:rPr>
        <w:t xml:space="preserve"> противопожарного режима в Российской Федерации.</w:t>
      </w:r>
    </w:p>
    <w:p w:rsidR="00AF1DB1" w:rsidRPr="00B26B68" w:rsidRDefault="00B26B68" w:rsidP="00B26B68">
      <w:pPr>
        <w:widowControl w:val="0"/>
        <w:autoSpaceDE w:val="0"/>
        <w:autoSpaceDN w:val="0"/>
        <w:adjustRightInd w:val="0"/>
        <w:spacing w:after="150"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w:t>
      </w:r>
      <w:r w:rsidR="00AF1DB1" w:rsidRPr="00B26B68">
        <w:rPr>
          <w:rFonts w:ascii="Times New Roman" w:hAnsi="Times New Roman"/>
          <w:color w:val="000000" w:themeColor="text1"/>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w:t>
      </w:r>
      <w:proofErr w:type="gramEnd"/>
      <w:r w:rsidR="00AF1DB1" w:rsidRPr="00B26B68">
        <w:rPr>
          <w:rFonts w:ascii="Times New Roman" w:hAnsi="Times New Roman"/>
          <w:color w:val="000000" w:themeColor="text1"/>
          <w:sz w:val="24"/>
          <w:szCs w:val="24"/>
        </w:rPr>
        <w:t>, муниципальных и городских округов, внутригородских районов.</w:t>
      </w:r>
    </w:p>
    <w:p w:rsidR="00AF1DB1" w:rsidRPr="00430BBF" w:rsidRDefault="00B26B68" w:rsidP="00AF1DB1">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2.</w:t>
      </w:r>
      <w:r w:rsidR="00AF1DB1" w:rsidRPr="00430BBF">
        <w:rPr>
          <w:rFonts w:ascii="Times New Roman" w:hAnsi="Times New Roman"/>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AF1DB1" w:rsidRPr="00430BBF" w:rsidRDefault="00AF1DB1" w:rsidP="00AF1DB1">
      <w:pPr>
        <w:widowControl w:val="0"/>
        <w:autoSpaceDE w:val="0"/>
        <w:autoSpaceDN w:val="0"/>
        <w:adjustRightInd w:val="0"/>
        <w:spacing w:after="150" w:line="240" w:lineRule="auto"/>
        <w:jc w:val="both"/>
        <w:rPr>
          <w:rFonts w:ascii="Times New Roman" w:hAnsi="Times New Roman"/>
          <w:sz w:val="24"/>
          <w:szCs w:val="24"/>
        </w:rPr>
      </w:pPr>
      <w:r w:rsidRPr="00430BBF">
        <w:rPr>
          <w:rFonts w:ascii="Times New Roman" w:hAnsi="Times New Roman"/>
          <w:sz w:val="24"/>
          <w:szCs w:val="24"/>
        </w:rPr>
        <w:t>Границы уборки указанных территорий определяются границами земельного участка на основании кадастрового или межевого плана.</w:t>
      </w:r>
    </w:p>
    <w:p w:rsidR="00AF1DB1" w:rsidRPr="00430BBF" w:rsidRDefault="00B26B68" w:rsidP="00AF1D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sidR="00AF1DB1" w:rsidRPr="00430BBF">
        <w:rPr>
          <w:rFonts w:ascii="Times New Roman" w:hAnsi="Times New Roman"/>
          <w:sz w:val="24"/>
          <w:szCs w:val="24"/>
        </w:rPr>
        <w:t xml:space="preserve">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AF1DB1" w:rsidRPr="00430BBF" w:rsidRDefault="00B26B68" w:rsidP="00AF1D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w:t>
      </w:r>
      <w:r w:rsidR="00AF1DB1" w:rsidRPr="00430BBF">
        <w:rPr>
          <w:rFonts w:ascii="Times New Roman" w:hAnsi="Times New Roman"/>
          <w:sz w:val="24"/>
          <w:szCs w:val="24"/>
        </w:rPr>
        <w:t xml:space="preserve">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AF1DB1" w:rsidRPr="00430BBF" w:rsidRDefault="00B26B68" w:rsidP="00AF1D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w:t>
      </w:r>
      <w:r w:rsidR="00AF1DB1" w:rsidRPr="00430BBF">
        <w:rPr>
          <w:rFonts w:ascii="Times New Roman" w:hAnsi="Times New Roman"/>
          <w:sz w:val="24"/>
          <w:szCs w:val="24"/>
        </w:rPr>
        <w:t xml:space="preserve"> </w:t>
      </w:r>
      <w:proofErr w:type="gramStart"/>
      <w:r w:rsidR="00AF1DB1" w:rsidRPr="00430BBF">
        <w:rPr>
          <w:rFonts w:ascii="Times New Roman" w:hAnsi="Times New Roman"/>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00AF1DB1" w:rsidRPr="00430BBF">
        <w:rPr>
          <w:rFonts w:ascii="Times New Roman" w:hAnsi="Times New Roman"/>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AF1DB1" w:rsidRPr="00430BBF" w:rsidRDefault="00B26B68" w:rsidP="00AF1D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w:t>
      </w:r>
      <w:r w:rsidR="00AF1DB1" w:rsidRPr="00430BBF">
        <w:rPr>
          <w:rFonts w:ascii="Times New Roman" w:hAnsi="Times New Roman"/>
          <w:sz w:val="24"/>
          <w:szCs w:val="24"/>
        </w:rPr>
        <w:t xml:space="preserve">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w:t>
      </w:r>
      <w:r w:rsidR="00AF1DB1" w:rsidRPr="00430BBF">
        <w:rPr>
          <w:rFonts w:ascii="Times New Roman" w:hAnsi="Times New Roman"/>
          <w:sz w:val="24"/>
          <w:szCs w:val="24"/>
        </w:rPr>
        <w:lastRenderedPageBreak/>
        <w:t>и пожарным гидрантам, резервуарам, естественным и искусственным водоемам, являющимся источниками наружного противопожарного водоснабжения.</w:t>
      </w:r>
    </w:p>
    <w:p w:rsidR="00AF1DB1" w:rsidRPr="00430BBF" w:rsidRDefault="00AF1DB1" w:rsidP="00AF1DB1">
      <w:pPr>
        <w:widowControl w:val="0"/>
        <w:autoSpaceDE w:val="0"/>
        <w:autoSpaceDN w:val="0"/>
        <w:adjustRightInd w:val="0"/>
        <w:spacing w:after="150" w:line="240" w:lineRule="auto"/>
        <w:jc w:val="both"/>
        <w:rPr>
          <w:rFonts w:ascii="Times New Roman" w:hAnsi="Times New Roman"/>
          <w:sz w:val="24"/>
          <w:szCs w:val="24"/>
        </w:rPr>
      </w:pPr>
      <w:r w:rsidRPr="00430BBF">
        <w:rPr>
          <w:rFonts w:ascii="Times New Roman" w:hAnsi="Times New Roman"/>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AF1DB1" w:rsidRPr="00430BBF" w:rsidRDefault="00AF1DB1" w:rsidP="00AF1DB1">
      <w:pPr>
        <w:widowControl w:val="0"/>
        <w:autoSpaceDE w:val="0"/>
        <w:autoSpaceDN w:val="0"/>
        <w:adjustRightInd w:val="0"/>
        <w:spacing w:after="150" w:line="240" w:lineRule="auto"/>
        <w:jc w:val="both"/>
        <w:rPr>
          <w:rFonts w:ascii="Times New Roman" w:hAnsi="Times New Roman"/>
          <w:sz w:val="24"/>
          <w:szCs w:val="24"/>
        </w:rPr>
      </w:pPr>
      <w:r w:rsidRPr="00430BBF">
        <w:rPr>
          <w:rFonts w:ascii="Times New Roman" w:hAnsi="Times New Roman"/>
          <w:sz w:val="24"/>
          <w:szCs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AF1DB1" w:rsidRPr="00430BBF" w:rsidRDefault="00AF1DB1" w:rsidP="00AF1DB1">
      <w:pPr>
        <w:widowControl w:val="0"/>
        <w:autoSpaceDE w:val="0"/>
        <w:autoSpaceDN w:val="0"/>
        <w:adjustRightInd w:val="0"/>
        <w:spacing w:after="150" w:line="240" w:lineRule="auto"/>
        <w:jc w:val="both"/>
        <w:rPr>
          <w:rFonts w:ascii="Times New Roman" w:hAnsi="Times New Roman"/>
          <w:sz w:val="24"/>
          <w:szCs w:val="24"/>
        </w:rPr>
      </w:pPr>
      <w:r w:rsidRPr="00430BBF">
        <w:rPr>
          <w:rFonts w:ascii="Times New Roman" w:hAnsi="Times New Roman"/>
          <w:sz w:val="24"/>
          <w:szCs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430BBF">
        <w:rPr>
          <w:rFonts w:ascii="Times New Roman" w:hAnsi="Times New Roman"/>
          <w:sz w:val="24"/>
          <w:szCs w:val="24"/>
        </w:rPr>
        <w:t>о-</w:t>
      </w:r>
      <w:proofErr w:type="gramEnd"/>
      <w:r w:rsidRPr="00430BBF">
        <w:rPr>
          <w:rFonts w:ascii="Times New Roman" w:hAnsi="Times New Roman"/>
          <w:sz w:val="24"/>
          <w:szCs w:val="24"/>
        </w:rPr>
        <w:t xml:space="preserve"> и </w:t>
      </w:r>
      <w:proofErr w:type="spellStart"/>
      <w:r w:rsidRPr="00430BBF">
        <w:rPr>
          <w:rFonts w:ascii="Times New Roman" w:hAnsi="Times New Roman"/>
          <w:sz w:val="24"/>
          <w:szCs w:val="24"/>
        </w:rPr>
        <w:t>аудиосвязи</w:t>
      </w:r>
      <w:proofErr w:type="spellEnd"/>
      <w:r w:rsidRPr="00430BBF">
        <w:rPr>
          <w:rFonts w:ascii="Times New Roman" w:hAnsi="Times New Roman"/>
          <w:sz w:val="24"/>
          <w:szCs w:val="24"/>
        </w:rPr>
        <w:t xml:space="preserve"> с местом их установки.</w:t>
      </w:r>
    </w:p>
    <w:p w:rsidR="00AF1DB1" w:rsidRPr="00430BBF" w:rsidRDefault="00AF1DB1" w:rsidP="00AF1DB1">
      <w:pPr>
        <w:widowControl w:val="0"/>
        <w:autoSpaceDE w:val="0"/>
        <w:autoSpaceDN w:val="0"/>
        <w:adjustRightInd w:val="0"/>
        <w:spacing w:after="150" w:line="240" w:lineRule="auto"/>
        <w:jc w:val="both"/>
        <w:rPr>
          <w:rFonts w:ascii="Times New Roman" w:hAnsi="Times New Roman"/>
          <w:sz w:val="24"/>
          <w:szCs w:val="24"/>
        </w:rPr>
      </w:pPr>
      <w:r w:rsidRPr="00430BBF">
        <w:rPr>
          <w:rFonts w:ascii="Times New Roman" w:hAnsi="Times New Roman"/>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AF1DB1" w:rsidRPr="00430BBF" w:rsidRDefault="00AF1DB1" w:rsidP="00AF1DB1">
      <w:pPr>
        <w:widowControl w:val="0"/>
        <w:autoSpaceDE w:val="0"/>
        <w:autoSpaceDN w:val="0"/>
        <w:adjustRightInd w:val="0"/>
        <w:spacing w:after="150" w:line="240" w:lineRule="auto"/>
        <w:jc w:val="both"/>
        <w:rPr>
          <w:rFonts w:ascii="Times New Roman" w:hAnsi="Times New Roman"/>
          <w:sz w:val="24"/>
          <w:szCs w:val="24"/>
        </w:rPr>
      </w:pPr>
      <w:r w:rsidRPr="00430BBF">
        <w:rPr>
          <w:rFonts w:ascii="Times New Roman" w:hAnsi="Times New Roman"/>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AF1DB1" w:rsidRPr="00430BBF" w:rsidRDefault="00B26B68" w:rsidP="00AF1D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w:t>
      </w:r>
      <w:r w:rsidR="00AF1DB1" w:rsidRPr="00430BBF">
        <w:rPr>
          <w:rFonts w:ascii="Times New Roman" w:hAnsi="Times New Roman"/>
          <w:sz w:val="24"/>
          <w:szCs w:val="24"/>
        </w:rPr>
        <w:t xml:space="preserve">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AF1DB1" w:rsidRPr="00430BBF" w:rsidRDefault="00B26B68" w:rsidP="00AF1D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w:t>
      </w:r>
      <w:r w:rsidR="00AF1DB1" w:rsidRPr="00430BBF">
        <w:rPr>
          <w:rFonts w:ascii="Times New Roman" w:hAnsi="Times New Roman"/>
          <w:sz w:val="24"/>
          <w:szCs w:val="24"/>
        </w:rPr>
        <w:t xml:space="preserve">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AF1DB1" w:rsidRPr="00430BBF" w:rsidRDefault="00AF1DB1" w:rsidP="00AF1DB1">
      <w:pPr>
        <w:widowControl w:val="0"/>
        <w:autoSpaceDE w:val="0"/>
        <w:autoSpaceDN w:val="0"/>
        <w:adjustRightInd w:val="0"/>
        <w:spacing w:after="150" w:line="240" w:lineRule="auto"/>
        <w:jc w:val="both"/>
        <w:rPr>
          <w:rFonts w:ascii="Times New Roman" w:hAnsi="Times New Roman"/>
          <w:sz w:val="24"/>
          <w:szCs w:val="24"/>
        </w:rPr>
      </w:pPr>
      <w:r w:rsidRPr="00430BBF">
        <w:rPr>
          <w:rFonts w:ascii="Times New Roman" w:hAnsi="Times New Roman"/>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AF1DB1" w:rsidRPr="00B26B68" w:rsidRDefault="00AF1DB1" w:rsidP="00AF1DB1">
      <w:pPr>
        <w:widowControl w:val="0"/>
        <w:autoSpaceDE w:val="0"/>
        <w:autoSpaceDN w:val="0"/>
        <w:adjustRightInd w:val="0"/>
        <w:spacing w:after="150" w:line="240" w:lineRule="auto"/>
        <w:jc w:val="both"/>
        <w:rPr>
          <w:rFonts w:ascii="Times New Roman" w:hAnsi="Times New Roman"/>
          <w:color w:val="000000" w:themeColor="text1"/>
          <w:sz w:val="24"/>
          <w:szCs w:val="24"/>
        </w:rPr>
      </w:pPr>
      <w:bookmarkStart w:id="0" w:name="_GoBack"/>
      <w:r w:rsidRPr="00B26B68">
        <w:rPr>
          <w:rFonts w:ascii="Times New Roman" w:hAnsi="Times New Roman"/>
          <w:color w:val="000000" w:themeColor="text1"/>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bookmarkEnd w:id="0"/>
    <w:p w:rsidR="00AF1DB1" w:rsidRPr="00430BBF" w:rsidRDefault="00AF1DB1" w:rsidP="00AF1DB1">
      <w:pPr>
        <w:widowControl w:val="0"/>
        <w:autoSpaceDE w:val="0"/>
        <w:autoSpaceDN w:val="0"/>
        <w:adjustRightInd w:val="0"/>
        <w:spacing w:after="150" w:line="240" w:lineRule="auto"/>
        <w:jc w:val="both"/>
        <w:rPr>
          <w:rFonts w:ascii="Times New Roman" w:hAnsi="Times New Roman"/>
          <w:sz w:val="24"/>
          <w:szCs w:val="24"/>
        </w:rPr>
      </w:pPr>
      <w:r w:rsidRPr="00430BBF">
        <w:rPr>
          <w:rFonts w:ascii="Times New Roman" w:hAnsi="Times New Roman"/>
          <w:sz w:val="24"/>
          <w:szCs w:val="24"/>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Pr="00430BBF">
        <w:rPr>
          <w:rFonts w:ascii="Times New Roman" w:hAnsi="Times New Roman"/>
          <w:sz w:val="24"/>
          <w:szCs w:val="24"/>
        </w:rPr>
        <w:t>высоту основан на</w:t>
      </w:r>
      <w:proofErr w:type="gramEnd"/>
      <w:r w:rsidRPr="00430BBF">
        <w:rPr>
          <w:rFonts w:ascii="Times New Roman" w:hAnsi="Times New Roman"/>
          <w:sz w:val="24"/>
          <w:szCs w:val="24"/>
        </w:rPr>
        <w:t xml:space="preserve"> нагревании воздуха внутри конструкции с помощью открытого огня.</w:t>
      </w:r>
    </w:p>
    <w:p w:rsidR="00AF1DB1" w:rsidRDefault="00AF1DB1" w:rsidP="00AF1DB1">
      <w:pPr>
        <w:jc w:val="both"/>
        <w:rPr>
          <w:rFonts w:ascii="Times New Roman" w:hAnsi="Times New Roman" w:cs="Times New Roman"/>
          <w:sz w:val="28"/>
          <w:szCs w:val="28"/>
        </w:rPr>
      </w:pPr>
    </w:p>
    <w:p w:rsidR="00B26B68" w:rsidRPr="00430BBF" w:rsidRDefault="00B26B68" w:rsidP="00B26B68">
      <w:pPr>
        <w:pStyle w:val="2"/>
        <w:shd w:val="clear" w:color="auto" w:fill="FFFFFF"/>
        <w:spacing w:before="411" w:after="274" w:line="343" w:lineRule="atLeast"/>
        <w:ind w:left="329"/>
        <w:jc w:val="both"/>
        <w:textAlignment w:val="baseline"/>
        <w:rPr>
          <w:rFonts w:ascii="Times New Roman" w:hAnsi="Times New Roman"/>
          <w:bCs w:val="0"/>
          <w:color w:val="000000"/>
        </w:rPr>
      </w:pPr>
      <w:r w:rsidRPr="00430BBF">
        <w:rPr>
          <w:rFonts w:ascii="Times New Roman" w:hAnsi="Times New Roman"/>
          <w:bCs w:val="0"/>
          <w:color w:val="000000"/>
        </w:rPr>
        <w:lastRenderedPageBreak/>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1.</w:t>
      </w:r>
      <w:r w:rsidRPr="00B26B68">
        <w:rPr>
          <w:color w:val="000000" w:themeColor="text1"/>
          <w:sz w:val="28"/>
          <w:szCs w:val="28"/>
        </w:rPr>
        <w:t>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bookmarkStart w:id="1" w:name="l845"/>
      <w:bookmarkStart w:id="2" w:name="l423"/>
      <w:bookmarkEnd w:id="1"/>
      <w:bookmarkEnd w:id="2"/>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2.</w:t>
      </w:r>
      <w:r w:rsidRPr="00B26B68">
        <w:rPr>
          <w:color w:val="000000" w:themeColor="text1"/>
          <w:sz w:val="28"/>
          <w:szCs w:val="28"/>
        </w:rPr>
        <w:t>Использование открытого огня должно осуществляться в специально оборудованных местах при выполнении следующих требований:</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а</w:t>
      </w:r>
      <w:proofErr w:type="gramStart"/>
      <w:r w:rsidRPr="00B26B68">
        <w:rPr>
          <w:rStyle w:val="dt-m"/>
          <w:color w:val="000000" w:themeColor="text1"/>
          <w:sz w:val="28"/>
          <w:szCs w:val="28"/>
        </w:rPr>
        <w:t>)</w:t>
      </w:r>
      <w:r w:rsidRPr="00B26B68">
        <w:rPr>
          <w:color w:val="000000" w:themeColor="text1"/>
          <w:sz w:val="28"/>
          <w:szCs w:val="28"/>
        </w:rPr>
        <w:t>м</w:t>
      </w:r>
      <w:proofErr w:type="gramEnd"/>
      <w:r w:rsidRPr="00B26B68">
        <w:rPr>
          <w:color w:val="000000" w:themeColor="text1"/>
          <w:sz w:val="28"/>
          <w:szCs w:val="28"/>
        </w:rPr>
        <w:t>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bookmarkStart w:id="3" w:name="l798"/>
      <w:bookmarkStart w:id="4" w:name="l424"/>
      <w:bookmarkEnd w:id="3"/>
      <w:bookmarkEnd w:id="4"/>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б</w:t>
      </w:r>
      <w:proofErr w:type="gramStart"/>
      <w:r w:rsidRPr="00B26B68">
        <w:rPr>
          <w:rStyle w:val="dt-m"/>
          <w:color w:val="000000" w:themeColor="text1"/>
          <w:sz w:val="28"/>
          <w:szCs w:val="28"/>
        </w:rPr>
        <w:t>)</w:t>
      </w:r>
      <w:r w:rsidRPr="00B26B68">
        <w:rPr>
          <w:color w:val="000000" w:themeColor="text1"/>
          <w:sz w:val="28"/>
          <w:szCs w:val="28"/>
        </w:rPr>
        <w:t>м</w:t>
      </w:r>
      <w:proofErr w:type="gramEnd"/>
      <w:r w:rsidRPr="00B26B68">
        <w:rPr>
          <w:color w:val="000000" w:themeColor="text1"/>
          <w:sz w:val="28"/>
          <w:szCs w:val="28"/>
        </w:rPr>
        <w:t>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в</w:t>
      </w:r>
      <w:proofErr w:type="gramStart"/>
      <w:r w:rsidRPr="00B26B68">
        <w:rPr>
          <w:rStyle w:val="dt-m"/>
          <w:color w:val="000000" w:themeColor="text1"/>
          <w:sz w:val="28"/>
          <w:szCs w:val="28"/>
        </w:rPr>
        <w:t>)</w:t>
      </w:r>
      <w:r w:rsidRPr="00B26B68">
        <w:rPr>
          <w:color w:val="000000" w:themeColor="text1"/>
          <w:sz w:val="28"/>
          <w:szCs w:val="28"/>
        </w:rPr>
        <w:t>т</w:t>
      </w:r>
      <w:proofErr w:type="gramEnd"/>
      <w:r w:rsidRPr="00B26B68">
        <w:rPr>
          <w:color w:val="000000" w:themeColor="text1"/>
          <w:sz w:val="28"/>
          <w:szCs w:val="28"/>
        </w:rPr>
        <w:t>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bookmarkStart w:id="5" w:name="l425"/>
      <w:bookmarkEnd w:id="5"/>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г</w:t>
      </w:r>
      <w:proofErr w:type="gramStart"/>
      <w:r w:rsidRPr="00B26B68">
        <w:rPr>
          <w:rStyle w:val="dt-m"/>
          <w:color w:val="000000" w:themeColor="text1"/>
          <w:sz w:val="28"/>
          <w:szCs w:val="28"/>
        </w:rPr>
        <w:t>)</w:t>
      </w:r>
      <w:r w:rsidRPr="00B26B68">
        <w:rPr>
          <w:color w:val="000000" w:themeColor="text1"/>
          <w:sz w:val="28"/>
          <w:szCs w:val="28"/>
        </w:rPr>
        <w:t>л</w:t>
      </w:r>
      <w:proofErr w:type="gramEnd"/>
      <w:r w:rsidRPr="00B26B68">
        <w:rPr>
          <w:color w:val="000000" w:themeColor="text1"/>
          <w:sz w:val="28"/>
          <w:szCs w:val="28"/>
        </w:rPr>
        <w:t>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3.</w:t>
      </w:r>
      <w:r w:rsidRPr="00B26B68">
        <w:rPr>
          <w:color w:val="000000" w:themeColor="text1"/>
          <w:sz w:val="28"/>
          <w:szCs w:val="28"/>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bookmarkStart w:id="6" w:name="l799"/>
      <w:bookmarkStart w:id="7" w:name="l426"/>
      <w:bookmarkEnd w:id="6"/>
      <w:bookmarkEnd w:id="7"/>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lastRenderedPageBreak/>
        <w:t>4.</w:t>
      </w:r>
      <w:r w:rsidRPr="00B26B68">
        <w:rPr>
          <w:color w:val="000000" w:themeColor="text1"/>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proofErr w:type="gramStart"/>
      <w:r w:rsidRPr="00B26B68">
        <w:rPr>
          <w:rStyle w:val="dt-m"/>
          <w:color w:val="000000" w:themeColor="text1"/>
          <w:sz w:val="28"/>
          <w:szCs w:val="28"/>
        </w:rPr>
        <w:t>5.</w:t>
      </w:r>
      <w:r w:rsidRPr="00B26B68">
        <w:rPr>
          <w:color w:val="000000" w:themeColor="text1"/>
          <w:sz w:val="28"/>
          <w:szCs w:val="28"/>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w:t>
      </w:r>
      <w:proofErr w:type="gramEnd"/>
      <w:r w:rsidRPr="00B26B68">
        <w:rPr>
          <w:color w:val="000000" w:themeColor="text1"/>
          <w:sz w:val="28"/>
          <w:szCs w:val="28"/>
        </w:rPr>
        <w:t xml:space="preserve"> метров.</w:t>
      </w:r>
      <w:bookmarkStart w:id="8" w:name="l427"/>
      <w:bookmarkEnd w:id="8"/>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6.</w:t>
      </w:r>
      <w:r w:rsidRPr="00B26B68">
        <w:rPr>
          <w:color w:val="000000" w:themeColor="text1"/>
          <w:sz w:val="28"/>
          <w:szCs w:val="28"/>
        </w:rPr>
        <w:t>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bookmarkStart w:id="9" w:name="l800"/>
      <w:bookmarkStart w:id="10" w:name="l428"/>
      <w:bookmarkEnd w:id="9"/>
      <w:bookmarkEnd w:id="10"/>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7.</w:t>
      </w:r>
      <w:r w:rsidRPr="00B26B68">
        <w:rPr>
          <w:color w:val="000000" w:themeColor="text1"/>
          <w:sz w:val="28"/>
          <w:szCs w:val="28"/>
        </w:rPr>
        <w:t>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bookmarkStart w:id="11" w:name="l801"/>
      <w:bookmarkStart w:id="12" w:name="l429"/>
      <w:bookmarkEnd w:id="11"/>
      <w:bookmarkEnd w:id="12"/>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8.</w:t>
      </w:r>
      <w:r w:rsidRPr="00B26B68">
        <w:rPr>
          <w:color w:val="000000" w:themeColor="text1"/>
          <w:sz w:val="28"/>
          <w:szCs w:val="28"/>
        </w:rPr>
        <w:t xml:space="preserve">В течение всего периода использования открытого огня до прекращения процесса тления должен осуществляться </w:t>
      </w:r>
      <w:proofErr w:type="gramStart"/>
      <w:r w:rsidRPr="00B26B68">
        <w:rPr>
          <w:color w:val="000000" w:themeColor="text1"/>
          <w:sz w:val="28"/>
          <w:szCs w:val="28"/>
        </w:rPr>
        <w:t>контроль за</w:t>
      </w:r>
      <w:proofErr w:type="gramEnd"/>
      <w:r w:rsidRPr="00B26B68">
        <w:rPr>
          <w:color w:val="000000" w:themeColor="text1"/>
          <w:sz w:val="28"/>
          <w:szCs w:val="28"/>
        </w:rPr>
        <w:t xml:space="preserve"> нераспространением горения (тления) за пределы очаговой зоны.</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9.</w:t>
      </w:r>
      <w:r w:rsidRPr="00B26B68">
        <w:rPr>
          <w:color w:val="000000" w:themeColor="text1"/>
          <w:sz w:val="28"/>
          <w:szCs w:val="28"/>
        </w:rPr>
        <w:t>Использование открытого огня запрещается:</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на торфяных почвах;</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при установлении на соответствующей территории особого противопожарного режима;</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bookmarkStart w:id="13" w:name="l802"/>
      <w:bookmarkEnd w:id="13"/>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под кронами деревьев хвойных пород;</w:t>
      </w:r>
      <w:bookmarkStart w:id="14" w:name="l430"/>
      <w:bookmarkEnd w:id="14"/>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lastRenderedPageBreak/>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bookmarkStart w:id="15" w:name="l803"/>
      <w:bookmarkEnd w:id="15"/>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при скорости ветра, превышающей значение 10 метров в секунду.</w:t>
      </w:r>
      <w:bookmarkStart w:id="16" w:name="l431"/>
      <w:bookmarkEnd w:id="16"/>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10.</w:t>
      </w:r>
      <w:r w:rsidRPr="00B26B68">
        <w:rPr>
          <w:color w:val="000000" w:themeColor="text1"/>
          <w:sz w:val="28"/>
          <w:szCs w:val="28"/>
        </w:rPr>
        <w:t>В процессе использования открытого огня запрещается:</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оставлять место очага горения без присмотра до полного прекращения горения (тления);</w:t>
      </w:r>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color w:val="000000" w:themeColor="text1"/>
          <w:sz w:val="28"/>
          <w:szCs w:val="28"/>
        </w:rPr>
        <w:t>располагать легковоспламеняющиеся и горючие жидкости, а также горючие материалы вблизи очага горения.</w:t>
      </w:r>
      <w:bookmarkStart w:id="17" w:name="l804"/>
      <w:bookmarkEnd w:id="17"/>
    </w:p>
    <w:p w:rsidR="00B26B68" w:rsidRPr="00B26B68" w:rsidRDefault="00B26B68" w:rsidP="00B26B68">
      <w:pPr>
        <w:pStyle w:val="dt-p"/>
        <w:shd w:val="clear" w:color="auto" w:fill="FFFFFF"/>
        <w:spacing w:before="0" w:beforeAutospacing="0" w:after="300" w:afterAutospacing="0"/>
        <w:jc w:val="both"/>
        <w:textAlignment w:val="baseline"/>
        <w:rPr>
          <w:color w:val="000000" w:themeColor="text1"/>
          <w:sz w:val="28"/>
          <w:szCs w:val="28"/>
        </w:rPr>
      </w:pPr>
      <w:r w:rsidRPr="00B26B68">
        <w:rPr>
          <w:rStyle w:val="dt-m"/>
          <w:color w:val="000000" w:themeColor="text1"/>
          <w:sz w:val="28"/>
          <w:szCs w:val="28"/>
        </w:rPr>
        <w:t>11.</w:t>
      </w:r>
      <w:r w:rsidRPr="00B26B68">
        <w:rPr>
          <w:color w:val="000000" w:themeColor="text1"/>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bookmarkStart w:id="18" w:name="l432"/>
      <w:bookmarkEnd w:id="18"/>
    </w:p>
    <w:p w:rsidR="00B26B68" w:rsidRPr="00B26B68" w:rsidRDefault="00B26B68" w:rsidP="00B26B68">
      <w:pPr>
        <w:pStyle w:val="a3"/>
        <w:shd w:val="clear" w:color="auto" w:fill="FFFFFF"/>
        <w:spacing w:before="0" w:beforeAutospacing="0" w:after="300" w:afterAutospacing="0"/>
        <w:jc w:val="right"/>
        <w:textAlignment w:val="baseline"/>
        <w:rPr>
          <w:i/>
          <w:iCs/>
          <w:color w:val="000000" w:themeColor="text1"/>
        </w:rPr>
      </w:pPr>
      <w:bookmarkStart w:id="19" w:name="h846"/>
      <w:bookmarkEnd w:id="19"/>
    </w:p>
    <w:p w:rsidR="00B26B68" w:rsidRPr="00B26B68" w:rsidRDefault="00B26B68" w:rsidP="00AF1DB1">
      <w:pPr>
        <w:jc w:val="both"/>
        <w:rPr>
          <w:rFonts w:ascii="Times New Roman" w:hAnsi="Times New Roman" w:cs="Times New Roman"/>
          <w:color w:val="000000" w:themeColor="text1"/>
          <w:sz w:val="28"/>
          <w:szCs w:val="28"/>
        </w:rPr>
      </w:pPr>
    </w:p>
    <w:sectPr w:rsidR="00B26B68" w:rsidRPr="00B2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A5C6C"/>
    <w:multiLevelType w:val="hybridMultilevel"/>
    <w:tmpl w:val="942E2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FA"/>
    <w:rsid w:val="008358FA"/>
    <w:rsid w:val="00AF1DB1"/>
    <w:rsid w:val="00B26B68"/>
    <w:rsid w:val="00FE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26B68"/>
    <w:pPr>
      <w:keepNext/>
      <w:spacing w:before="240" w:after="60"/>
      <w:outlineLvl w:val="1"/>
    </w:pPr>
    <w:rPr>
      <w:rFonts w:asciiTheme="majorHAnsi" w:eastAsiaTheme="majorEastAsia" w:hAnsiTheme="majorHAnsi"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B68"/>
    <w:rPr>
      <w:rFonts w:asciiTheme="majorHAnsi" w:eastAsiaTheme="majorEastAsia" w:hAnsiTheme="majorHAnsi" w:cs="Times New Roman"/>
      <w:b/>
      <w:bCs/>
      <w:i/>
      <w:iCs/>
      <w:sz w:val="28"/>
      <w:szCs w:val="28"/>
      <w:lang w:eastAsia="ru-RU"/>
    </w:rPr>
  </w:style>
  <w:style w:type="paragraph" w:customStyle="1" w:styleId="dt-p">
    <w:name w:val="dt-p"/>
    <w:basedOn w:val="a"/>
    <w:rsid w:val="00B26B6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t-m">
    <w:name w:val="dt-m"/>
    <w:rsid w:val="00B26B68"/>
  </w:style>
  <w:style w:type="paragraph" w:styleId="a3">
    <w:name w:val="Normal (Web)"/>
    <w:basedOn w:val="a"/>
    <w:uiPriority w:val="99"/>
    <w:semiHidden/>
    <w:unhideWhenUsed/>
    <w:rsid w:val="00B26B6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B26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26B68"/>
    <w:pPr>
      <w:keepNext/>
      <w:spacing w:before="240" w:after="60"/>
      <w:outlineLvl w:val="1"/>
    </w:pPr>
    <w:rPr>
      <w:rFonts w:asciiTheme="majorHAnsi" w:eastAsiaTheme="majorEastAsia" w:hAnsiTheme="majorHAnsi"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B68"/>
    <w:rPr>
      <w:rFonts w:asciiTheme="majorHAnsi" w:eastAsiaTheme="majorEastAsia" w:hAnsiTheme="majorHAnsi" w:cs="Times New Roman"/>
      <w:b/>
      <w:bCs/>
      <w:i/>
      <w:iCs/>
      <w:sz w:val="28"/>
      <w:szCs w:val="28"/>
      <w:lang w:eastAsia="ru-RU"/>
    </w:rPr>
  </w:style>
  <w:style w:type="paragraph" w:customStyle="1" w:styleId="dt-p">
    <w:name w:val="dt-p"/>
    <w:basedOn w:val="a"/>
    <w:rsid w:val="00B26B6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t-m">
    <w:name w:val="dt-m"/>
    <w:rsid w:val="00B26B68"/>
  </w:style>
  <w:style w:type="paragraph" w:styleId="a3">
    <w:name w:val="Normal (Web)"/>
    <w:basedOn w:val="a"/>
    <w:uiPriority w:val="99"/>
    <w:semiHidden/>
    <w:unhideWhenUsed/>
    <w:rsid w:val="00B26B6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B26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67014#l15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административная</dc:creator>
  <cp:keywords/>
  <dc:description/>
  <cp:lastModifiedBy>административная</cp:lastModifiedBy>
  <cp:revision>2</cp:revision>
  <dcterms:created xsi:type="dcterms:W3CDTF">2021-04-01T11:14:00Z</dcterms:created>
  <dcterms:modified xsi:type="dcterms:W3CDTF">2021-04-01T11:34:00Z</dcterms:modified>
</cp:coreProperties>
</file>