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lang w:val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  <w:br/>
        <w:t>№ Пр-907) поставлена цель обеспечить поэтапное завершение газификации России к 2024 и к 2030 году.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Распоряжением администрации Урупского муниципального района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от 26.07.2021 №119-р создана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территориальная рабочая группа по социальной догазификации Урупского муниципального района.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Предварительно, н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а те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рритории 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газифицированных населенных пунктов 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Урупского муниципального района общее количество негазифицированных 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индивидуальных жилых домов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 составляет 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239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 единиц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>ы</w:t>
      </w: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.   </w:t>
      </w:r>
    </w:p>
    <w:p>
      <w:pPr>
        <w:pStyle w:val="Normal"/>
        <w:widowControl/>
        <w:bidi w:val="0"/>
        <w:spacing w:lineRule="auto" w:line="259" w:before="0" w:after="16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lang w:val="ru-RU"/>
        </w:rPr>
        <w:t xml:space="preserve">На основании данных Росреестра, рабочей группой проведена работа по уточнению количества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индивидуальных жилых домов, принадлежащих на праве собственности заявителям – физическим лицам, в населенных пунктах, в которых уже п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остроены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внутрипоселковые сети. В ст. Преградная из 217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 жилых домов, подлежащих газификации в установленном порядке оформлено 1516 домов, в                 а. Кызыл-Уруп из 188 домов оформлено 123 дома, в п. Медногорский из 39 домов оформлено 35.</w:t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остроены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внутрипоселковые сети, и требуется достроить газопроводы до границ земельных участков, на которых расположены такие дома.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если у </w:t>
      </w:r>
      <w:r>
        <w:rPr>
          <w:rFonts w:cs="Times New Roman" w:ascii="Times New Roman" w:hAnsi="Times New Roman"/>
          <w:sz w:val="28"/>
          <w:szCs w:val="28"/>
          <w:lang w:val="ru-RU"/>
        </w:rPr>
        <w:t>заявителя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имеются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</w:t>
      </w:r>
      <w:r>
        <w:rPr>
          <w:rFonts w:cs="Times New Roman" w:ascii="Times New Roman" w:hAnsi="Times New Roman"/>
          <w:sz w:val="28"/>
          <w:szCs w:val="28"/>
          <w:lang w:val="ru-RU"/>
        </w:rPr>
        <w:t>он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попадет в программу догазификации.</w:t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Чтобы подать заявку на догазификацию, заявитель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может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2">
        <w:r>
          <w:rPr>
            <w:rFonts w:cs="Times New Roman" w:ascii="Times New Roman" w:hAnsi="Times New Roman"/>
            <w:sz w:val="28"/>
            <w:szCs w:val="28"/>
            <w:lang w:val="ru-RU"/>
          </w:rPr>
          <w:t>СОЦГАЗ.РФ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При себе необходимо иметь п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будет доступна типовая форма заявки, с описью необходимых документов.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59" w:before="0" w:after="1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before="0" w:after="1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headerReference w:type="default" r:id="rId3"/>
      <w:type w:val="nextPage"/>
      <w:pgSz w:w="12240" w:h="15840"/>
      <w:pgMar w:left="1134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2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4">
    <w:name w:val="Текст примечания Знак"/>
    <w:basedOn w:val="DefaultParagraphFont"/>
    <w:qFormat/>
    <w:rPr>
      <w:sz w:val="20"/>
      <w:szCs w:val="20"/>
    </w:rPr>
  </w:style>
  <w:style w:type="character" w:styleId="Style15">
    <w:name w:val="Тема примечания Знак"/>
    <w:basedOn w:val="Style14"/>
    <w:qFormat/>
    <w:rPr>
      <w:b/>
      <w:bCs/>
      <w:sz w:val="20"/>
      <w:szCs w:val="20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rPr>
      <w:color w:val="0563C1"/>
      <w:u w:val="single"/>
    </w:rPr>
  </w:style>
  <w:style w:type="character" w:styleId="Style18">
    <w:name w:val="Верхний колонтитул Знак"/>
    <w:basedOn w:val="DefaultParagraphFont"/>
    <w:qFormat/>
    <w:rPr/>
  </w:style>
  <w:style w:type="character" w:styleId="Style19">
    <w:name w:val="Нижний колонтитул Знак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nectgas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LibreOffice/7.1.2.2$Windows_X86_64 LibreOffice_project/8a45595d069ef5570103caea1b71cc9d82b2aae4</Application>
  <AppVersion>15.0000</AppVersion>
  <Pages>2</Pages>
  <Words>401</Words>
  <Characters>2809</Characters>
  <CharactersWithSpaces>3226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2021-07-21T22:49:00Z</dcterms:created>
  <dc:creator>Sorokin Pavel</dc:creator>
  <dc:description/>
  <dc:language>ru-RU</dc:language>
  <cp:lastModifiedBy/>
  <dcterms:modified xsi:type="dcterms:W3CDTF">2021-07-28T16:22:02Z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